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乳酸脱氢酶(LDH)细胞毒性检测试剂盒说明书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RC24020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乳酸脱氢酶(lactate dehydro ge nase，LDH 或 LD)，是一种稳定的蛋白质，存在于正常细胞的胞质中，正常情况下不能透过细胞膜；当细胞受损伤时，膜通透性增强，LDH 即 被释放到胞外。细胞质内 LDH 减少，培养液中 LDH 增多，测定培养液中 LDH 活性或 LDH 漏出率即可反映药物的细胞毒性。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LDH 属于氧化还原酶，能可逆的催化乳酸(L)和丙酮酸(P)之间的氧化还原反应。其反应 公式：乳酸+ NAD →丙酮酸+ NADH + H 。其中：L→P 为正向反应；P→L 为逆向反应。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乳酸脱氢酶(LDH)细胞毒性检测试剂盒其检测原理是以 NAD 为受氢体，LDH 催化乳酸脱氢生成丙酮酸，丙酮酸再与二硝基苯肼反应生成丙酮酸二硝基苯腙，后者在碱性 溶液中呈棕红色，颜色深浅与丙酮酸浓度呈正比，可用酶标仪检测 440n m 处的吸光度，通过公式可以计算出细胞毒性时释放的 LDH 活性或检测其他样品中的 LDH 活性。本试剂盒 可用于常规的 LDH 活性的检测，更常用于以 LDH 释放为指标的细胞毒性的检测。该试剂 盒仅用于科研领域。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2659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</wp:posOffset>
                      </wp:positionV>
                      <wp:extent cx="2199640" cy="354965"/>
                      <wp:effectExtent l="635" t="4445" r="9525" b="215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2665" y="7525385"/>
                                <a:ext cx="2199640" cy="354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0.15pt;height:27.95pt;width:173.2pt;z-index:251659264;mso-width-relative:page;mso-height-relative:page;" filled="f" stroked="t" coordsize="21600,21600" o:gfxdata="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oOC2bVAAAA&#10;BwEAAA8AAAAAAAAAAQAgAAAAIgAAAGRycy9kb3ducmV2LnhtbFBLAQIUABQAAAAIAIdO4kBr0oQ7&#10;5wEAAJYDAAAOAAAAAAAAAAEAIAAAACQ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编号</w:t>
            </w:r>
          </w:p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RC22165</w:t>
            </w:r>
          </w:p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500T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试剂(A):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LDH Assay buffer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 ml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4</w:t>
            </w:r>
            <w:r>
              <w:rPr>
                <w:rFonts w:hint="default"/>
                <w:vertAlign w:val="baseline"/>
                <w:lang w:val="en-US" w:eastAsia="zh-CN"/>
              </w:rPr>
              <w:t>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试剂(B):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NAD 溶液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ml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-20℃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试剂(C):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苯肼显色液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3 ml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4</w:t>
            </w:r>
            <w:r>
              <w:rPr>
                <w:rFonts w:hint="default"/>
                <w:vertAlign w:val="baseline"/>
                <w:lang w:val="en-US" w:eastAsia="zh-CN"/>
              </w:rPr>
              <w:t>℃ 避光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试剂(D):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碱性显色液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ml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R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试剂(E):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LDH 释放剂(10×)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ml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 T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使用说明书 </w:t>
            </w:r>
          </w:p>
        </w:tc>
        <w:tc>
          <w:tcPr>
            <w:tcW w:w="5731" w:type="dxa"/>
            <w:gridSpan w:val="2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 份</w:t>
            </w:r>
          </w:p>
        </w:tc>
      </w:tr>
    </w:tbl>
    <w:p>
      <w:pPr>
        <w:tabs>
          <w:tab w:val="left" w:pos="1604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MS Mincho" w:hAnsi="MS Mincho" w:eastAsia="MS Mincho" w:cs="MS Mincho"/>
          <w:sz w:val="22"/>
          <w:szCs w:val="22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spacing w:beforeLines="0" w:after="75" w:afterLines="0" w:line="360" w:lineRule="auto"/>
        <w:ind w:right="225" w:firstLine="42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spacing w:beforeLines="0" w:after="75" w:afterLines="0" w:line="360" w:lineRule="auto"/>
        <w:ind w:right="225"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beforeLines="0" w:after="75" w:afterLines="0" w:line="360" w:lineRule="auto"/>
        <w:ind w:right="225"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beforeLines="0" w:after="75" w:afterLines="0" w:line="360" w:lineRule="auto"/>
        <w:ind w:right="22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、96 孔板培养的待测组细和对照组细胞样品</w:t>
      </w:r>
    </w:p>
    <w:p>
      <w:pPr>
        <w:numPr>
          <w:ilvl w:val="0"/>
          <w:numId w:val="0"/>
        </w:numPr>
        <w:spacing w:beforeLines="0" w:after="75" w:afterLines="0" w:line="360" w:lineRule="auto"/>
        <w:ind w:left="600" w:leftChars="0" w:right="225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无菌 PBS、培养液、蒸馏水</w:t>
      </w:r>
    </w:p>
    <w:p>
      <w:pPr>
        <w:numPr>
          <w:ilvl w:val="0"/>
          <w:numId w:val="1"/>
        </w:numPr>
        <w:spacing w:beforeLines="0" w:after="75" w:afterLines="0" w:line="360" w:lineRule="auto"/>
        <w:ind w:left="600" w:leftChars="0" w:right="225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多孔板离心机、96 孔板或离心机、离心管 </w:t>
      </w:r>
    </w:p>
    <w:p>
      <w:pPr>
        <w:numPr>
          <w:ilvl w:val="0"/>
          <w:numId w:val="1"/>
        </w:numPr>
        <w:spacing w:beforeLines="0" w:after="75" w:afterLines="0" w:line="360" w:lineRule="auto"/>
        <w:ind w:left="600" w:leftChars="0" w:right="225" w:rightChars="0" w:firstLine="0" w:firstLine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ascii="宋体" w:hAnsi="宋体" w:eastAsia="宋体" w:cs="宋体"/>
          <w:sz w:val="24"/>
          <w:szCs w:val="24"/>
        </w:rPr>
        <w:t>恒温箱或水浴锅</w:t>
      </w:r>
    </w:p>
    <w:p>
      <w:pPr>
        <w:numPr>
          <w:ilvl w:val="0"/>
          <w:numId w:val="1"/>
        </w:numPr>
        <w:spacing w:beforeLines="0" w:after="75" w:afterLines="0" w:line="360" w:lineRule="auto"/>
        <w:ind w:left="600" w:leftChars="0" w:right="225" w:rightChars="0" w:firstLine="0" w:firstLine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ascii="宋体" w:hAnsi="宋体" w:eastAsia="宋体" w:cs="宋体"/>
          <w:sz w:val="24"/>
          <w:szCs w:val="24"/>
        </w:rPr>
        <w:t xml:space="preserve"> 酶标仪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ascii="宋体" w:hAnsi="宋体" w:eastAsia="宋体" w:cs="宋体"/>
          <w:sz w:val="24"/>
          <w:szCs w:val="24"/>
        </w:rPr>
        <w:t>仅供参考)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beforeLines="0" w:after="75" w:afterLines="0" w:line="360" w:lineRule="auto"/>
        <w:ind w:right="225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准备样品：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①LDH 释放检测：根据细胞的大小和生长速度将适量细胞接种到 96 培养板中，使待检 测时细胞密度不超过 90 % 满。吸去培养液，PBS 清洗一次，加新培养液，并根据实验需 要设置相应的背景空白对照孔 A、样品对照孔 B、最大酶活对照孔 C、药物处理样品孔 D 等分组，继续培养。待检测前取出细胞培养板，在”最大酶活对照孔 C”加入 LDH 释 放剂(10×)，加入量为原有培养液体积的 10 %，并反复吹打混匀数次，然后继续培养 1H 左右。将细胞培养板用多孔板离心机 400g 离心 5min，分别抽取各孔上清液 30 ~ 50μl， 加入到一个新的 96 孔板相应孔中，用于后续的 LDH 检测。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②细胞内总 LDH 的细胞毒性和细胞增殖检测：根据细胞的大小和生长速度将适量细胞接 种到 96 培养板中，使待检测时细胞密度不超过 90% 满。加入不同药物处理，并设置适 当对照。将细胞培养板用多孔板离心机 400 g 离心 5 min，吸除培养液，加入 150μ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ascii="宋体" w:hAnsi="宋体" w:eastAsia="宋体" w:cs="宋体"/>
          <w:sz w:val="24"/>
          <w:szCs w:val="24"/>
        </w:rPr>
        <w:t xml:space="preserve"> 用 PBS 10 倍稀释的 LDH 释放剂，晃动培养板使充分混匀，然后继续培养 1H 左右。将细 胞培养板用多孔板离心机 400 g 离心 5 min，分别抽取各孔上清液 30 ~ 5 0μl，加入到一 个新的 96 孔板相应孔中，用于后续的细胞毒性检测。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720" w:firstLineChars="3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③样品准备完毕后可以用 BC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A 蛋白浓度测定试剂盒测定蛋白浓度，以便于后续计算单位 蛋白重量组织或细胞内的 LDH 含量。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720" w:firstLineChars="3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720" w:firstLineChars="3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720" w:firstLineChars="3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720" w:firstLineChars="3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 w:firstLine="720" w:firstLineChars="3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ascii="宋体" w:hAnsi="宋体" w:eastAsia="宋体" w:cs="宋体"/>
          <w:sz w:val="24"/>
          <w:szCs w:val="24"/>
        </w:rPr>
        <w:t>2、LDH 酶促：按照下表顺序依次加入各溶液，并注意避免产生气泡。如果样品中酶活性过高，可减少样品用量或适当稀释后再行测定。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加入物(μl)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加入量(μl)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待测样品(上清液)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LDH Assay buffer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NAD Buffer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0" w:type="dxa"/>
            <w:gridSpan w:val="2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混匀，37℃孵育 15 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苯肼显色液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0" w:type="dxa"/>
            <w:gridSpan w:val="2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混匀，37℃孵育 15 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碱性显色液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6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蒸馏水</w:t>
            </w:r>
          </w:p>
        </w:tc>
        <w:tc>
          <w:tcPr>
            <w:tcW w:w="3104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150</w:t>
            </w:r>
          </w:p>
        </w:tc>
      </w:tr>
    </w:tbl>
    <w:p>
      <w:pPr>
        <w:spacing w:beforeLines="0" w:after="75" w:afterLines="0" w:line="360" w:lineRule="auto"/>
        <w:ind w:right="225" w:firstLine="48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ascii="宋体" w:hAnsi="宋体" w:eastAsia="宋体" w:cs="宋体"/>
          <w:sz w:val="24"/>
          <w:szCs w:val="24"/>
        </w:rPr>
        <w:t>3、LDH 测定：混匀，室温放置 5 min，酶标仪 440n m 处测定各孔吸光度。</w:t>
      </w:r>
    </w:p>
    <w:p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计算： </w:t>
      </w:r>
    </w:p>
    <w:p>
      <w:p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细胞毒性或死亡率=(A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D</w:t>
      </w:r>
      <w:r>
        <w:rPr>
          <w:rFonts w:ascii="宋体" w:hAnsi="宋体" w:eastAsia="宋体" w:cs="宋体"/>
          <w:sz w:val="24"/>
          <w:szCs w:val="24"/>
        </w:rPr>
        <w:t>-A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</w:t>
      </w:r>
      <w:r>
        <w:rPr>
          <w:rFonts w:ascii="宋体" w:hAnsi="宋体" w:eastAsia="宋体" w:cs="宋体"/>
          <w:sz w:val="24"/>
          <w:szCs w:val="24"/>
          <w:vertAlign w:val="subscript"/>
        </w:rPr>
        <w:t>B</w:t>
      </w:r>
      <w:r>
        <w:rPr>
          <w:rFonts w:ascii="宋体" w:hAnsi="宋体" w:eastAsia="宋体" w:cs="宋体"/>
          <w:sz w:val="24"/>
          <w:szCs w:val="24"/>
        </w:rPr>
        <w:t>)/(A</w:t>
      </w:r>
      <w:r>
        <w:rPr>
          <w:rFonts w:ascii="宋体" w:hAnsi="宋体" w:eastAsia="宋体" w:cs="宋体"/>
          <w:sz w:val="24"/>
          <w:szCs w:val="24"/>
          <w:vertAlign w:val="subscript"/>
        </w:rPr>
        <w:t>C</w:t>
      </w:r>
      <w:r>
        <w:rPr>
          <w:rFonts w:ascii="宋体" w:hAnsi="宋体" w:eastAsia="宋体" w:cs="宋体"/>
          <w:sz w:val="24"/>
          <w:szCs w:val="24"/>
        </w:rPr>
        <w:t>-A</w:t>
      </w:r>
      <w:r>
        <w:rPr>
          <w:rFonts w:ascii="宋体" w:hAnsi="宋体" w:eastAsia="宋体" w:cs="宋体"/>
          <w:sz w:val="24"/>
          <w:szCs w:val="24"/>
          <w:vertAlign w:val="subscript"/>
        </w:rPr>
        <w:t>B</w:t>
      </w:r>
      <w:r>
        <w:rPr>
          <w:rFonts w:ascii="宋体" w:hAnsi="宋体" w:eastAsia="宋体" w:cs="宋体"/>
          <w:sz w:val="24"/>
          <w:szCs w:val="24"/>
        </w:rPr>
        <w:t xml:space="preserve">)×100 % </w:t>
      </w:r>
    </w:p>
    <w:p>
      <w:p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如同时检测一已知浓度c的L D H酶标准品对应吸光度值A</w:t>
      </w:r>
      <w:r>
        <w:rPr>
          <w:rFonts w:ascii="宋体" w:hAnsi="宋体" w:eastAsia="宋体" w:cs="宋体"/>
          <w:sz w:val="24"/>
          <w:szCs w:val="24"/>
          <w:vertAlign w:val="subscript"/>
        </w:rPr>
        <w:t>Y</w:t>
      </w:r>
      <w:r>
        <w:rPr>
          <w:rFonts w:ascii="宋体" w:hAnsi="宋体" w:eastAsia="宋体" w:cs="宋体"/>
          <w:sz w:val="24"/>
          <w:szCs w:val="24"/>
        </w:rPr>
        <w:t>和标准空白对照吸光度</w:t>
      </w:r>
    </w:p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值 A</w:t>
      </w:r>
      <w:r>
        <w:rPr>
          <w:rFonts w:ascii="宋体" w:hAnsi="宋体" w:eastAsia="宋体" w:cs="宋体"/>
          <w:sz w:val="24"/>
          <w:szCs w:val="24"/>
          <w:vertAlign w:val="subscript"/>
        </w:rPr>
        <w:t>Y0</w:t>
      </w:r>
      <w:r>
        <w:rPr>
          <w:rFonts w:ascii="宋体" w:hAnsi="宋体" w:eastAsia="宋体" w:cs="宋体"/>
          <w:sz w:val="24"/>
          <w:szCs w:val="24"/>
        </w:rPr>
        <w:t>，则可粗略计算出样品中的酶活力：</w:t>
      </w:r>
    </w:p>
    <w:p>
      <w:pPr>
        <w:tabs>
          <w:tab w:val="left" w:pos="1604"/>
        </w:tabs>
        <w:bidi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待测样品中 LDH 活力单位（ m U/ ml）=(A</w:t>
      </w:r>
      <w:r>
        <w:rPr>
          <w:rFonts w:ascii="宋体" w:hAnsi="宋体" w:eastAsia="宋体" w:cs="宋体"/>
          <w:sz w:val="24"/>
          <w:szCs w:val="24"/>
          <w:vertAlign w:val="subscript"/>
        </w:rPr>
        <w:t>B</w:t>
      </w:r>
      <w:r>
        <w:rPr>
          <w:rFonts w:ascii="宋体" w:hAnsi="宋体" w:eastAsia="宋体" w:cs="宋体"/>
          <w:sz w:val="24"/>
          <w:szCs w:val="24"/>
        </w:rPr>
        <w:t>-A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A</w:t>
      </w:r>
      <w:r>
        <w:rPr>
          <w:rFonts w:ascii="宋体" w:hAnsi="宋体" w:eastAsia="宋体" w:cs="宋体"/>
          <w:sz w:val="24"/>
          <w:szCs w:val="24"/>
        </w:rPr>
        <w:t>)/(A</w:t>
      </w:r>
      <w:r>
        <w:rPr>
          <w:rFonts w:ascii="宋体" w:hAnsi="宋体" w:eastAsia="宋体" w:cs="宋体"/>
          <w:sz w:val="24"/>
          <w:szCs w:val="24"/>
          <w:vertAlign w:val="subscript"/>
        </w:rPr>
        <w:t>Y</w:t>
      </w:r>
      <w:r>
        <w:rPr>
          <w:rFonts w:ascii="宋体" w:hAnsi="宋体" w:eastAsia="宋体" w:cs="宋体"/>
          <w:sz w:val="24"/>
          <w:szCs w:val="24"/>
        </w:rPr>
        <w:t>-A</w:t>
      </w:r>
      <w:r>
        <w:rPr>
          <w:rFonts w:ascii="宋体" w:hAnsi="宋体" w:eastAsia="宋体" w:cs="宋体"/>
          <w:sz w:val="24"/>
          <w:szCs w:val="24"/>
          <w:vertAlign w:val="subscript"/>
        </w:rPr>
        <w:t>Y 0</w:t>
      </w:r>
      <w:r>
        <w:rPr>
          <w:rFonts w:ascii="宋体" w:hAnsi="宋体" w:eastAsia="宋体" w:cs="宋体"/>
          <w:sz w:val="24"/>
          <w:szCs w:val="24"/>
        </w:rPr>
        <w:t xml:space="preserve">)×c </w:t>
      </w:r>
    </w:p>
    <w:p>
      <w:pPr>
        <w:tabs>
          <w:tab w:val="left" w:pos="1604"/>
        </w:tabs>
        <w:bidi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如需准确计算样品 LD H 酶的绝对活性，可用自备的 LDH 标准品及测得的相应吸 光度值绘制标准曲线，通过标准曲线相应公式可计算出样品的酶活性。</w:t>
      </w:r>
    </w:p>
    <w:p>
      <w:pPr>
        <w:tabs>
          <w:tab w:val="left" w:pos="1604"/>
        </w:tabs>
        <w:bidi w:val="0"/>
        <w:ind w:firstLine="1440" w:firstLineChars="6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其中：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  <w:vertAlign w:val="subscript"/>
        </w:rPr>
        <w:t>A</w:t>
      </w:r>
      <w:r>
        <w:rPr>
          <w:rFonts w:ascii="宋体" w:hAnsi="宋体" w:eastAsia="宋体" w:cs="宋体"/>
          <w:sz w:val="24"/>
          <w:szCs w:val="24"/>
        </w:rPr>
        <w:t xml:space="preserve"> =背景空白对照孔 A 的吸光度</w:t>
      </w:r>
    </w:p>
    <w:p>
      <w:pPr>
        <w:tabs>
          <w:tab w:val="left" w:pos="1604"/>
        </w:tabs>
        <w:bidi w:val="0"/>
        <w:ind w:firstLine="2160" w:firstLineChars="9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B </w:t>
      </w:r>
      <w:r>
        <w:rPr>
          <w:rFonts w:ascii="宋体" w:hAnsi="宋体" w:eastAsia="宋体" w:cs="宋体"/>
          <w:sz w:val="24"/>
          <w:szCs w:val="24"/>
        </w:rPr>
        <w:t>=样品对照孔 B 的吸光度</w:t>
      </w:r>
    </w:p>
    <w:p>
      <w:pPr>
        <w:tabs>
          <w:tab w:val="left" w:pos="1604"/>
        </w:tabs>
        <w:bidi w:val="0"/>
        <w:ind w:firstLine="2400" w:firstLineChars="10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C </w:t>
      </w:r>
      <w:r>
        <w:rPr>
          <w:rFonts w:ascii="宋体" w:hAnsi="宋体" w:eastAsia="宋体" w:cs="宋体"/>
          <w:sz w:val="24"/>
          <w:szCs w:val="24"/>
        </w:rPr>
        <w:t>=最大酶活对照孔 C 的吸光度</w:t>
      </w:r>
    </w:p>
    <w:p>
      <w:pPr>
        <w:tabs>
          <w:tab w:val="left" w:pos="1604"/>
        </w:tabs>
        <w:bidi w:val="0"/>
        <w:ind w:firstLine="2400" w:firstLineChars="10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D</w:t>
      </w:r>
      <w:r>
        <w:rPr>
          <w:rFonts w:ascii="宋体" w:hAnsi="宋体" w:eastAsia="宋体" w:cs="宋体"/>
          <w:sz w:val="24"/>
          <w:szCs w:val="24"/>
        </w:rPr>
        <w:t xml:space="preserve"> =药物处理样品孔 D 的吸光度</w:t>
      </w:r>
    </w:p>
    <w:p>
      <w:pPr>
        <w:tabs>
          <w:tab w:val="left" w:pos="1604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结果与分析： </w:t>
      </w:r>
    </w:p>
    <w:p>
      <w:pPr>
        <w:tabs>
          <w:tab w:val="left" w:pos="1604"/>
        </w:tabs>
        <w:bidi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通过直接比较每孔 LDH 的活性判定药物或毒物的细胞毒性。LDH 的活性越高，表示细胞膜通透性越高，细胞受损越严重。</w:t>
      </w:r>
    </w:p>
    <w:p>
      <w:pPr>
        <w:tabs>
          <w:tab w:val="left" w:pos="1604"/>
        </w:tabs>
        <w:bidi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3"/>
        </w:numPr>
        <w:tabs>
          <w:tab w:val="left" w:pos="1604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培养细胞时要用无血清或低浓度血清的培养液，以排除血清的干扰，否则会有偏差。 </w:t>
      </w:r>
    </w:p>
    <w:p>
      <w:pPr>
        <w:numPr>
          <w:ilvl w:val="0"/>
          <w:numId w:val="3"/>
        </w:numPr>
        <w:tabs>
          <w:tab w:val="left" w:pos="1604"/>
        </w:tabs>
        <w:bidi w:val="0"/>
        <w:ind w:left="0" w:leftChars="0" w:right="0" w:righ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EDTA 对 LDH 有抑制作用，操作中避免使用或尽量彻底清除含 EDTA 的试剂。 </w:t>
      </w:r>
    </w:p>
    <w:p>
      <w:pPr>
        <w:widowControl w:val="0"/>
        <w:numPr>
          <w:ilvl w:val="0"/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1604"/>
        </w:tabs>
        <w:bidi w:val="0"/>
        <w:ind w:left="0" w:leftChars="0" w:right="0" w:righ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LDH 尽可能现取现测，如收集的细胞培养液放置时间较长，可能使 LDH 的活性降低。 </w:t>
      </w:r>
    </w:p>
    <w:p>
      <w:pPr>
        <w:numPr>
          <w:ilvl w:val="0"/>
          <w:numId w:val="3"/>
        </w:numPr>
        <w:tabs>
          <w:tab w:val="left" w:pos="1604"/>
        </w:tabs>
        <w:bidi w:val="0"/>
        <w:ind w:left="0" w:leftChars="0" w:right="0" w:righ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同一批试验尽量用同一次配置的溶液，溶液的使用量应统一，反应时间也应一致。 </w:t>
      </w:r>
    </w:p>
    <w:p>
      <w:pPr>
        <w:numPr>
          <w:ilvl w:val="0"/>
          <w:numId w:val="3"/>
        </w:numPr>
        <w:tabs>
          <w:tab w:val="left" w:pos="1604"/>
        </w:tabs>
        <w:bidi w:val="0"/>
        <w:ind w:left="0" w:leftChars="0" w:right="0" w:righ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酶促反应中，上清液取样量以 5 ~20 ul 为宜，。如果样品中酶活性过高，可减少样品用 量或适当稀释后再行测定。 </w:t>
      </w:r>
    </w:p>
    <w:p>
      <w:pPr>
        <w:numPr>
          <w:ilvl w:val="0"/>
          <w:numId w:val="3"/>
        </w:numPr>
        <w:tabs>
          <w:tab w:val="left" w:pos="1604"/>
        </w:tabs>
        <w:bidi w:val="0"/>
        <w:ind w:left="0" w:leftChars="0" w:right="0" w:righ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显色后应在 15 min 内测定完成。 </w:t>
      </w:r>
    </w:p>
    <w:p>
      <w:pPr>
        <w:numPr>
          <w:ilvl w:val="0"/>
          <w:numId w:val="3"/>
        </w:numPr>
        <w:tabs>
          <w:tab w:val="left" w:pos="1604"/>
        </w:tabs>
        <w:bidi w:val="0"/>
        <w:ind w:left="0" w:leftChars="0" w:right="0" w:righ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碱性显色液有一定腐蚀性，请小心操作。</w:t>
      </w:r>
    </w:p>
    <w:p>
      <w:pPr>
        <w:widowControl w:val="0"/>
        <w:numPr>
          <w:ilvl w:val="0"/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>6 个月有效。低温运输，NAD 溶液 -20℃保存。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F22A"/>
    <w:multiLevelType w:val="singleLevel"/>
    <w:tmpl w:val="2D7DF2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0C1B11"/>
    <w:multiLevelType w:val="singleLevel"/>
    <w:tmpl w:val="450C1B11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2">
    <w:nsid w:val="51DF06F7"/>
    <w:multiLevelType w:val="singleLevel"/>
    <w:tmpl w:val="51DF06F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3A92"/>
    <w:rsid w:val="03A55FB4"/>
    <w:rsid w:val="08314152"/>
    <w:rsid w:val="08E22FF9"/>
    <w:rsid w:val="09771772"/>
    <w:rsid w:val="098F26A2"/>
    <w:rsid w:val="0A160B13"/>
    <w:rsid w:val="0B3B22C4"/>
    <w:rsid w:val="0CD03759"/>
    <w:rsid w:val="0E05003A"/>
    <w:rsid w:val="0EF37BC9"/>
    <w:rsid w:val="10B937BA"/>
    <w:rsid w:val="1257478E"/>
    <w:rsid w:val="133270C2"/>
    <w:rsid w:val="13747265"/>
    <w:rsid w:val="143213CE"/>
    <w:rsid w:val="15094E42"/>
    <w:rsid w:val="17BE39E4"/>
    <w:rsid w:val="17C72D48"/>
    <w:rsid w:val="18F21F10"/>
    <w:rsid w:val="1A111D38"/>
    <w:rsid w:val="1C4A5DCF"/>
    <w:rsid w:val="1C6F5233"/>
    <w:rsid w:val="1DE47B23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2FCB1D0D"/>
    <w:rsid w:val="3098481A"/>
    <w:rsid w:val="324159A6"/>
    <w:rsid w:val="32697AD0"/>
    <w:rsid w:val="342A141B"/>
    <w:rsid w:val="35294AEA"/>
    <w:rsid w:val="37007ADE"/>
    <w:rsid w:val="383D440E"/>
    <w:rsid w:val="393E678C"/>
    <w:rsid w:val="3A4F06D7"/>
    <w:rsid w:val="3C141236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2C40D0F"/>
    <w:rsid w:val="533D079E"/>
    <w:rsid w:val="554137E0"/>
    <w:rsid w:val="572E2FBD"/>
    <w:rsid w:val="58E43842"/>
    <w:rsid w:val="5AC853F2"/>
    <w:rsid w:val="5B5F4D7C"/>
    <w:rsid w:val="5C2B58D2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2020-08-21T06:56:52Z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2052-11.1.0.9912</vt:lpwstr>
  </property>
</Properties>
</file>